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  <w:jc w:val="left"/>
      </w:pPr>
      <w:r>
        <w:rPr>
          <w:b/>
          <w:bCs/>
          <w:color w:val="1e3a5f"/>
          <w:sz w:val="52"/>
          <w:szCs w:val="52"/>
        </w:rPr>
        <w:t xml:space="preserve">Property-Match</w:t>
      </w:r>
    </w:p>
    <w:p>
      <w:pPr>
        <w:spacing w:after="120" w:before="0"/>
        <w:jc w:val="left"/>
      </w:pPr>
      <w:r>
        <w:rPr>
          <w:color w:val="64748b"/>
          <w:sz w:val="26"/>
          <w:szCs w:val="26"/>
        </w:rPr>
        <w:t xml:space="preserve">Änderungsprotokoll — Meeting-Feedback 26.05.2026</w:t>
      </w:r>
    </w:p>
    <w:p>
      <w:pPr>
        <w:spacing w:after="400" w:before="0"/>
      </w:pPr>
      <w:r>
        <w:rPr>
          <w:color w:val="94a3b8"/>
          <w:sz w:val="18"/>
          <w:szCs w:val="18"/>
        </w:rPr>
        <w:t xml:space="preserve">Erstellt: 7.6.2026  ·  Branch: Ultimate</w:t>
      </w:r>
    </w:p>
    <w:p>
      <w:pPr>
        <w:pBdr>
          <w:bottom w:val="single" w:color="e2e8f0" w:sz="4"/>
        </w:pBdr>
        <w:spacing w:after="200" w:before="200"/>
      </w:pPr>
    </w:p>
    <w:p>
      <w:pPr>
        <w:pBdr>
          <w:bottom w:val="single" w:color="e2e8f0" w:sz="6"/>
        </w:pBdr>
        <w:spacing w:after="160" w:before="360"/>
      </w:pPr>
      <w:r>
        <w:rPr>
          <w:b/>
          <w:bCs/>
          <w:color w:val="1e3a5f"/>
          <w:sz w:val="26"/>
          <w:szCs w:val="26"/>
        </w:rPr>
        <w:t xml:space="preserve">Hintergrund</w:t>
      </w:r>
    </w:p>
    <w:p>
      <w:pPr>
        <w:spacing w:after="80" w:before="60"/>
        <w:ind/>
      </w:pPr>
      <w:r>
        <w:rPr>
          <w:i w:val="false"/>
          <w:iCs w:val="false"/>
          <w:color w:val="334155"/>
          <w:sz w:val="20"/>
          <w:szCs w:val="20"/>
        </w:rPr>
        <w:t xml:space="preserve">Am 26.05.2026 wurde die erste Version des Property-Match Prototyps vor potenziellen Kunden und Branchenexperten (u.a. Renato, Senior-Experte aus der Verwaltungsbranche) präsentiert. Das Feedback war positiv — der Ansatz mit Match-Score, Erklärbarkeit und Pre-Market-Signalen wurde explizit gelobt. Es wurden fünf konkrete Lücken identifiziert, die vor der nächsten Demo geschlossen werden mussten. Zusätzlich wurde im Nachgang Change 6 (Reale Jahresbelastung) als eigenständige Entscheidungsintelligenz-Funktion ergänzt.</w:t>
      </w:r>
    </w:p>
    <w:p>
      <w:pPr>
        <w:spacing w:after="80" w:before="60"/>
        <w:ind/>
      </w:pPr>
      <w:r>
        <w:rPr>
          <w:i w:val="false"/>
          <w:iCs w:val="false"/>
          <w:color w:val="334155"/>
          <w:sz w:val="20"/>
          <w:szCs w:val="20"/>
        </w:rPr>
        <w:t xml:space="preserve">Dieses Dokument beschreibt alle umgesetzten Anpassungen inklusive der tatsächlichen Implementierungsdetails (Abweichungen vom ursprünglichen Plan sind markiert).</w:t>
      </w:r>
    </w:p>
    <w:p>
      <w:pPr>
        <w:pBdr>
          <w:bottom w:val="single" w:color="e2e8f0" w:sz="4"/>
        </w:pBdr>
        <w:spacing w:after="200" w:before="200"/>
      </w:pPr>
    </w:p>
    <w:p>
      <w:pPr>
        <w:pBdr>
          <w:bottom w:val="single" w:color="e2e8f0" w:sz="6"/>
        </w:pBdr>
        <w:spacing w:after="160" w:before="360"/>
      </w:pPr>
      <w:r>
        <w:rPr>
          <w:b/>
          <w:bCs/>
          <w:color w:val="1e3a5f"/>
          <w:sz w:val="26"/>
          <w:szCs w:val="26"/>
        </w:rPr>
        <w:t xml:space="preserve">Übersicht: Feedback → Umsetzung</w:t>
      </w:r>
    </w:p>
    <w:p>
      <w:pPr>
        <w:spacing w:after="120" w:before="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shd w:fill="1e3a5f" w:color="1e3a5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#</w:t>
            </w:r>
          </w:p>
        </w:tc>
        <w:tc>
          <w:tcPr>
            <w:shd w:fill="1e3a5f" w:color="1e3a5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Feedback / Entscheid</w:t>
            </w:r>
          </w:p>
        </w:tc>
        <w:tc>
          <w:tcPr>
            <w:shd w:fill="1e3a5f" w:color="1e3a5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Status</w:t>
            </w:r>
          </w:p>
        </w:tc>
        <w:tc>
          <w:tcPr>
            <w:shd w:fill="1e3a5f" w:color="1e3a5f" w:val="solid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Priorität</w:t>
            </w:r>
          </w:p>
        </w:tc>
      </w:tr>
      <w:tr>
        <w:tc>
          <w:tcPr>
            <w:shd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shd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color w:val="334155"/>
                <w:sz w:val="18"/>
                <w:szCs w:val="18"/>
              </w:rPr>
              <w:t xml:space="preserve">Radius-/Umkreissuche (km)</w:t>
            </w:r>
          </w:p>
        </w:tc>
        <w:tc>
          <w:tcPr>
            <w:shd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color w:val="334155"/>
                <w:sz w:val="18"/>
                <w:szCs w:val="18"/>
              </w:rPr>
              <w:t xml:space="preserve">✅ Umgesetzt</w:t>
            </w:r>
          </w:p>
        </w:tc>
        <w:tc>
          <w:tcPr>
            <w:shd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color w:val="334155"/>
                <w:sz w:val="18"/>
                <w:szCs w:val="18"/>
              </w:rPr>
              <w:t xml:space="preserve">P1</w:t>
            </w:r>
          </w:p>
        </w:tc>
      </w:tr>
      <w:tr>
        <w:tc>
          <w:tcPr>
            <w:shd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shd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color w:val="334155"/>
                <w:sz w:val="18"/>
                <w:szCs w:val="18"/>
              </w:rPr>
              <w:t xml:space="preserve">Unterteilbarkeit + Mindesteinheit</w:t>
            </w:r>
          </w:p>
        </w:tc>
        <w:tc>
          <w:tcPr>
            <w:shd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color w:val="334155"/>
                <w:sz w:val="18"/>
                <w:szCs w:val="18"/>
              </w:rPr>
              <w:t xml:space="preserve">✅ Umgesetzt</w:t>
            </w:r>
          </w:p>
        </w:tc>
        <w:tc>
          <w:tcPr>
            <w:shd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color w:val="334155"/>
                <w:sz w:val="18"/>
                <w:szCs w:val="18"/>
              </w:rPr>
              <w:t xml:space="preserve">P1</w:t>
            </w:r>
          </w:p>
        </w:tc>
      </w:tr>
      <w:tr>
        <w:tc>
          <w:tcPr>
            <w:shd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shd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color w:val="334155"/>
                <w:sz w:val="18"/>
                <w:szCs w:val="18"/>
              </w:rPr>
              <w:t xml:space="preserve">Ausbaubudget (CHF/m²) + MAB</w:t>
            </w:r>
          </w:p>
        </w:tc>
        <w:tc>
          <w:tcPr>
            <w:shd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color w:val="334155"/>
                <w:sz w:val="18"/>
                <w:szCs w:val="18"/>
              </w:rPr>
              <w:t xml:space="preserve">✅ Umgesetzt</w:t>
            </w:r>
          </w:p>
        </w:tc>
        <w:tc>
          <w:tcPr>
            <w:shd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color w:val="334155"/>
                <w:sz w:val="18"/>
                <w:szCs w:val="18"/>
              </w:rPr>
              <w:t xml:space="preserve">P1</w:t>
            </w:r>
          </w:p>
        </w:tc>
      </w:tr>
      <w:tr>
        <w:tc>
          <w:tcPr>
            <w:shd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shd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color w:val="334155"/>
                <w:sz w:val="18"/>
                <w:szCs w:val="18"/>
              </w:rPr>
              <w:t xml:space="preserve">Workspace-Klarheit (eine Ansicht)</w:t>
            </w:r>
          </w:p>
        </w:tc>
        <w:tc>
          <w:tcPr>
            <w:shd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color w:val="334155"/>
                <w:sz w:val="18"/>
                <w:szCs w:val="18"/>
              </w:rPr>
              <w:t xml:space="preserve">✅ Bereits vorhanden</w:t>
            </w:r>
          </w:p>
        </w:tc>
        <w:tc>
          <w:tcPr>
            <w:shd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color w:val="334155"/>
                <w:sz w:val="18"/>
                <w:szCs w:val="18"/>
              </w:rPr>
              <w:t xml:space="preserve">P2</w:t>
            </w:r>
          </w:p>
        </w:tc>
      </w:tr>
      <w:tr>
        <w:tc>
          <w:tcPr>
            <w:shd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shd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color w:val="334155"/>
                <w:sz w:val="18"/>
                <w:szCs w:val="18"/>
              </w:rPr>
              <w:t xml:space="preserve">Anonymes Suchprofil</w:t>
            </w:r>
          </w:p>
        </w:tc>
        <w:tc>
          <w:tcPr>
            <w:shd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color w:val="334155"/>
                <w:sz w:val="18"/>
                <w:szCs w:val="18"/>
              </w:rPr>
              <w:t xml:space="preserve">✅ Umgesetzt</w:t>
            </w:r>
          </w:p>
        </w:tc>
        <w:tc>
          <w:tcPr>
            <w:shd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color w:val="334155"/>
                <w:sz w:val="18"/>
                <w:szCs w:val="18"/>
              </w:rPr>
              <w:t xml:space="preserve">P2</w:t>
            </w:r>
          </w:p>
        </w:tc>
      </w:tr>
      <w:tr>
        <w:tc>
          <w:tcPr>
            <w:shd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shd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color w:val="334155"/>
                <w:sz w:val="18"/>
                <w:szCs w:val="18"/>
              </w:rPr>
              <w:t xml:space="preserve">Reale Jahresbelastung (Ausbaukosten)</w:t>
            </w:r>
          </w:p>
        </w:tc>
        <w:tc>
          <w:tcPr>
            <w:shd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color w:val="334155"/>
                <w:sz w:val="18"/>
                <w:szCs w:val="18"/>
              </w:rPr>
              <w:t xml:space="preserve">✅ Umgesetzt</w:t>
            </w:r>
          </w:p>
        </w:tc>
        <w:tc>
          <w:tcPr>
            <w:shd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color w:val="334155"/>
                <w:sz w:val="18"/>
                <w:szCs w:val="18"/>
              </w:rPr>
              <w:t xml:space="preserve">P1+</w:t>
            </w:r>
          </w:p>
        </w:tc>
      </w:tr>
    </w:tbl>
    <w:p>
      <w:pPr>
        <w:spacing w:after="200" w:before="0"/>
      </w:pPr>
    </w:p>
    <w:p>
      <w:pPr>
        <w:pBdr>
          <w:bottom w:val="single" w:color="e2e8f0" w:sz="4"/>
        </w:pBdr>
        <w:spacing w:after="200" w:before="200"/>
      </w:pPr>
    </w:p>
    <w:p>
      <w:pPr>
        <w:pBdr>
          <w:bottom w:val="single" w:color="e2e8f0" w:sz="6"/>
        </w:pBdr>
        <w:spacing w:after="160" w:before="360"/>
      </w:pPr>
      <w:r>
        <w:rPr>
          <w:b/>
          <w:bCs/>
          <w:color w:val="1e3a5f"/>
          <w:sz w:val="26"/>
          <w:szCs w:val="26"/>
        </w:rPr>
        <w:t xml:space="preserve">Änderung 1 — Radius-/Umkreissuche</w:t>
      </w:r>
    </w:p>
    <w:p>
      <w:pPr>
        <w:spacing w:after="160" w:before="0"/>
      </w:pPr>
      <w:r>
        <w:rPr>
          <w:color w:val="64748b"/>
          <w:sz w:val="18"/>
          <w:szCs w:val="18"/>
        </w:rPr>
        <w:t xml:space="preserve">Priorität: P1  ·  Betroffene Screens: Flächensuche, Ergebnisliste</w:t>
      </w:r>
    </w:p>
    <w:p>
      <w:pPr>
        <w:spacing w:after="100" w:before="240"/>
      </w:pPr>
      <w:r>
        <w:rPr>
          <w:b/>
          <w:bCs/>
          <w:color w:val="1e3a5f"/>
          <w:sz w:val="22"/>
          <w:szCs w:val="22"/>
        </w:rPr>
        <w:t xml:space="preserve">Problem</w:t>
      </w:r>
    </w:p>
    <w:p>
      <w:pPr>
        <w:spacing w:after="80" w:before="60"/>
        <w:ind/>
      </w:pPr>
      <w:r>
        <w:rPr>
          <w:i w:val="false"/>
          <w:iCs w:val="false"/>
          <w:color w:val="334155"/>
          <w:sz w:val="20"/>
          <w:szCs w:val="20"/>
        </w:rPr>
        <w:t xml:space="preserve">Stakeholder wollten nicht Städte ankreuzen, sondern sagen: "Ich will innerhalb von 30 km von Zürich HB". Die bisherigen Standort-Chips (Zürich, Bern, Basel, ...) bilden diese Suchlogik nicht ab.</w:t>
      </w:r>
    </w:p>
    <w:p>
      <w:pPr>
        <w:spacing w:after="80" w:before="60"/>
        <w:ind/>
      </w:pPr>
      <w:r>
        <w:rPr>
          <w:i/>
          <w:iCs/>
          <w:color w:val="7c3aed"/>
          <w:sz w:val="20"/>
          <w:szCs w:val="20"/>
        </w:rPr>
        <w:t xml:space="preserve">"Wir können ja in Kilometern eingrenzen... auf 50km limitieren" — Renato, Meeting 26.05.2026</w:t>
      </w:r>
    </w:p>
    <w:p>
      <w:pPr>
        <w:spacing w:after="100" w:before="240"/>
      </w:pPr>
      <w:r>
        <w:rPr>
          <w:b/>
          <w:bCs/>
          <w:color w:val="1e3a5f"/>
          <w:sz w:val="22"/>
          <w:szCs w:val="22"/>
        </w:rPr>
        <w:t xml:space="preserve">Lösung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Neues Feld searchRadius (km) in den Domain-Typen Need und ParsedNeedCriteria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MUI Slider unterhalb des Standortfeldes in der Flächensuche (NeedInput.tsx)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Schritte: 5 / 10 / 20 / 30 / 50 / 100 km — Standardwert: 30 km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Live-Label "X km" neben dem Slider-Titel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Radius wird in der aktiven Suchkontext-Karte auf der Ergebnisseite angezeigt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Mapper (needSearchMapper.ts) übergibt Radius an das gespeicherte Need-Objekt</w:t>
      </w:r>
    </w:p>
    <w:p>
      <w:pPr>
        <w:spacing w:after="100" w:before="240"/>
      </w:pPr>
      <w:r>
        <w:rPr>
          <w:b/>
          <w:bCs/>
          <w:color w:val="1e3a5f"/>
          <w:sz w:val="22"/>
          <w:szCs w:val="22"/>
        </w:rPr>
        <w:t xml:space="preserve">Geänderte Dateien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src/domain/need.ts </w:t>
      </w:r>
      <w:r>
        <w:rPr>
          <w:color w:val="64748b"/>
          <w:sz w:val="20"/>
          <w:szCs w:val="20"/>
        </w:rPr>
        <w:t xml:space="preserve"> — searchRadius?: number hinzugefügt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src/domain/needBuilder.ts </w:t>
      </w:r>
      <w:r>
        <w:rPr>
          <w:color w:val="64748b"/>
          <w:sz w:val="20"/>
          <w:szCs w:val="20"/>
        </w:rPr>
        <w:t xml:space="preserve"> — searchRadius?: number in ParsedNeedCriteria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src/components/demand/NeedInput.tsx </w:t>
      </w:r>
      <w:r>
        <w:rPr>
          <w:color w:val="64748b"/>
          <w:sz w:val="20"/>
          <w:szCs w:val="20"/>
        </w:rPr>
        <w:t xml:space="preserve"> — Radius-Slider mit RADIUS_MARKS Konstante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src/services/aiSearch/needSearchMapper.ts </w:t>
      </w:r>
      <w:r>
        <w:rPr>
          <w:color w:val="64748b"/>
          <w:sz w:val="20"/>
          <w:szCs w:val="20"/>
        </w:rPr>
        <w:t xml:space="preserve"> — Feld durchgeleitet + Zusammenfassung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src/pages/demand/Results.tsx </w:t>
      </w:r>
      <w:r>
        <w:rPr>
          <w:color w:val="64748b"/>
          <w:sz w:val="20"/>
          <w:szCs w:val="20"/>
        </w:rPr>
        <w:t xml:space="preserve"> — "Radius: X km" in der aktiven Suchkarte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src/mock-data/needs.ts </w:t>
      </w:r>
      <w:r>
        <w:rPr>
          <w:color w:val="64748b"/>
          <w:sz w:val="20"/>
          <w:szCs w:val="20"/>
        </w:rPr>
        <w:t xml:space="preserve"> — need-001: 30 km, need-002: 50 km</w:t>
      </w:r>
    </w:p>
    <w:p>
      <w:pPr>
        <w:pBdr>
          <w:bottom w:val="single" w:color="e2e8f0" w:sz="4"/>
        </w:pBdr>
        <w:spacing w:after="200" w:before="200"/>
      </w:pPr>
    </w:p>
    <w:p>
      <w:pPr>
        <w:pBdr>
          <w:bottom w:val="single" w:color="e2e8f0" w:sz="6"/>
        </w:pBdr>
        <w:spacing w:after="160" w:before="360"/>
      </w:pPr>
      <w:r>
        <w:rPr>
          <w:b/>
          <w:bCs/>
          <w:color w:val="1e3a5f"/>
          <w:sz w:val="26"/>
          <w:szCs w:val="26"/>
        </w:rPr>
        <w:t xml:space="preserve">Änderung 2 — Unterteilbarkeit + Mindesteinheit</w:t>
      </w:r>
    </w:p>
    <w:p>
      <w:pPr>
        <w:spacing w:after="160" w:before="0"/>
      </w:pPr>
      <w:r>
        <w:rPr>
          <w:color w:val="64748b"/>
          <w:sz w:val="18"/>
          <w:szCs w:val="18"/>
        </w:rPr>
        <w:t xml:space="preserve">Priorität: P1  ·  Betroffene Screens: Flächensuche, Ergebnisliste, Inserat-Formular, Objekt-Detail (Supply)</w:t>
      </w:r>
    </w:p>
    <w:p>
      <w:pPr>
        <w:spacing w:after="100" w:before="240"/>
      </w:pPr>
      <w:r>
        <w:rPr>
          <w:b/>
          <w:bCs/>
          <w:color w:val="1e3a5f"/>
          <w:sz w:val="22"/>
          <w:szCs w:val="22"/>
        </w:rPr>
        <w:t xml:space="preserve">Problem</w:t>
      </w:r>
    </w:p>
    <w:p>
      <w:pPr>
        <w:spacing w:after="80" w:before="60"/>
        <w:ind/>
      </w:pPr>
      <w:r>
        <w:rPr>
          <w:i w:val="false"/>
          <w:iCs w:val="false"/>
          <w:color w:val="334155"/>
          <w:sz w:val="20"/>
          <w:szCs w:val="20"/>
        </w:rPr>
        <w:t xml:space="preserve">Im Meeting wurde explizit diskutiert: "Wir haben 800 m², die teilbar sind. Von 50 m², was das Minimum ist." — Das ist ein zentraler Filter für Gewerbeflächen. Ein Suchender mit Bedarf 150 m² muss wissen, ob ein 800 m²-Objekt auf 150 m² teilbar ist. Auf der Verwalterseite fehlte die Möglichkeit, Teilbarkeit pro Einheit zu pflegen und direkt mit passenden Suchanfragen zu verknüpfen.</w:t>
      </w:r>
    </w:p>
    <w:p>
      <w:pPr>
        <w:spacing w:after="100" w:before="240"/>
      </w:pPr>
      <w:r>
        <w:rPr>
          <w:b/>
          <w:bCs/>
          <w:color w:val="1e3a5f"/>
          <w:sz w:val="22"/>
          <w:szCs w:val="22"/>
        </w:rPr>
        <w:t xml:space="preserve">Domain — Einheiten-Modell</w:t>
      </w:r>
    </w:p>
    <w:p>
      <w:pPr>
        <w:spacing w:after="80" w:before="60"/>
        <w:ind/>
      </w:pPr>
      <w:r>
        <w:rPr>
          <w:i w:val="false"/>
          <w:iCs w:val="false"/>
          <w:color w:val="334155"/>
          <w:sz w:val="20"/>
          <w:szCs w:val="20"/>
        </w:rPr>
        <w:t xml:space="preserve">Die Unterteilbarkeit hängt am PropertyUnit-Modell, nicht am Property-Objekt selbst. Jede Einheit kann unabhängig als teilbar markiert werden: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PropertyUnit.isFlexible?: boolean — Einheit kann in Teilflächen vermietet werden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PropertyUnit.minLettableSqm?: number — kleinste vermietbare Teilfläche dieser Einheit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PropertyUnit.offeredSqm?: number — aktuell angebotene Fläche (≤ areaSqm, für Restflächen)</w:t>
      </w:r>
    </w:p>
    <w:p>
      <w:pPr>
        <w:spacing w:after="100" w:before="240"/>
      </w:pPr>
      <w:r>
        <w:rPr>
          <w:b/>
          <w:bCs/>
          <w:color w:val="1e3a5f"/>
          <w:sz w:val="22"/>
          <w:szCs w:val="22"/>
        </w:rPr>
        <w:t xml:space="preserve">Demand-Seite — Sucher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Need.requiresDivisibility?: boolean + Need.minDivisibleUnit?: number in Domain-Typen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Toggle "Fläche muss teilbar sein" in Erweiterten Anforderungen (NeedExtendedRequirements.tsx)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Wenn Toggle aktiv: Zahlenfeld "Mindesteinheit (m²)" erscheint darunter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MatchCardViewModel: isDivisible + minDivisibleUnitSqm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matchCardAdapter.ts: berechnet Werte aus property.units[] — flexible Einheiten (isFlexible + minLettableSqm) haben Vorrang, sonst kleinste areaSqm über alle Einheiten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Lila Chip "Teilbar ab X m²" auf der Ergebniskarte (MatchCardCompact.tsx)</w:t>
      </w:r>
    </w:p>
    <w:p>
      <w:pPr>
        <w:spacing w:after="100" w:before="240"/>
      </w:pPr>
      <w:r>
        <w:rPr>
          <w:b/>
          <w:bCs/>
          <w:color w:val="1e3a5f"/>
          <w:sz w:val="22"/>
          <w:szCs w:val="22"/>
        </w:rPr>
        <w:t xml:space="preserve">Supply-Seite — Verwalter: Inserat-Formular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"Fläche ist teilbar" Toggle im Inserat-Formular (TechnicalDetailsSection.tsx), Abschnitt "Technische Details"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Wenn aktiv: Feld "Mindesteinheit (m²) — Kleinste vermietbare Einheit" erscheint daneben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Wert wird via newListingMapper.ts als isFlexible + minLettableSqm auf die erste PropertyUnit geschrieben</w:t>
      </w:r>
    </w:p>
    <w:p>
      <w:pPr>
        <w:spacing w:after="100" w:before="240"/>
      </w:pPr>
      <w:r>
        <w:rPr>
          <w:b/>
          <w:bCs/>
          <w:color w:val="1e3a5f"/>
          <w:sz w:val="22"/>
          <w:szCs w:val="22"/>
        </w:rPr>
        <w:t xml:space="preserve">Supply-Seite — Verwalter: Objekt-Detail (UnitStructurePanel)</w:t>
      </w:r>
    </w:p>
    <w:p>
      <w:pPr>
        <w:spacing w:after="80" w:before="60"/>
        <w:ind/>
      </w:pPr>
      <w:r>
        <w:rPr>
          <w:i w:val="false"/>
          <w:iCs w:val="false"/>
          <w:color w:val="334155"/>
          <w:sz w:val="20"/>
          <w:szCs w:val="20"/>
        </w:rPr>
        <w:t xml:space="preserve">Das UnitStructurePanel ist der zentrale Ort für die Teilbarkeits-Verwaltung pro Objekt. Es zeigt die Stockwerkstruktur als Tabelle und ermöglicht: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Teilbar-Toggle pro freier Einheit — direkt in der Zeile, ohne Seitenneuladen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Inline-Editor für Mindesteinheit: erscheint nach Toggle-Aktivierung, Eingabe + Bestätigen speichert via useUpdateUnit()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Anzeige "ab X m²" unter der Fläche wenn isFlexible + minLettableSqm gesetzt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Kombination mehrerer freier Einheiten: Checkboxen auswählen → Bundle-Panel zeigt Gesamtfläche + Label (z.B. "1.OG + 2.OG")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Match-Pills pro Einheit: zeigt passende Suchanfragen mit Score direkt in der Zeile (MatchPill-Komponente)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Bundle-Matching: kombinierte Einheiten werden gegen offene Bedarfe geprüft — passende Suchanfragen erscheinen im Bundle-Panel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Aufklapp-Ansicht: Klick auf Expand-Icon zeigt alle passenden Suchanfragen für diese Einheit</w:t>
      </w:r>
    </w:p>
    <w:p>
      <w:pPr>
        <w:spacing w:after="100" w:before="240"/>
      </w:pPr>
      <w:r>
        <w:rPr>
          <w:b/>
          <w:bCs/>
          <w:color w:val="1e3a5f"/>
          <w:sz w:val="22"/>
          <w:szCs w:val="22"/>
        </w:rPr>
        <w:t xml:space="preserve">Mock-Daten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6+ Properties mit mehreren Einheiten und isFlexible: true + minLettableSqm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Beispiele: prop-001 (West 260m², ab 120m²), prop-007 (2.OG West 280m², ab 150m²), prop-013, prop-014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need-002: requiresDivisibility: true, minDivisibleUnit: 500</w:t>
      </w:r>
    </w:p>
    <w:p>
      <w:pPr>
        <w:spacing w:after="100" w:before="240"/>
      </w:pPr>
      <w:r>
        <w:rPr>
          <w:b/>
          <w:bCs/>
          <w:color w:val="1e3a5f"/>
          <w:sz w:val="22"/>
          <w:szCs w:val="22"/>
        </w:rPr>
        <w:t xml:space="preserve">Geänderte Dateien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src/domain/unit.ts </w:t>
      </w:r>
      <w:r>
        <w:rPr>
          <w:color w:val="64748b"/>
          <w:sz w:val="20"/>
          <w:szCs w:val="20"/>
        </w:rPr>
        <w:t xml:space="preserve"> — PropertyUnit: isFlexible?, minLettableSqm?, offeredSqm?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src/domain/need.ts + needBuilder.ts </w:t>
      </w:r>
      <w:r>
        <w:rPr>
          <w:color w:val="64748b"/>
          <w:sz w:val="20"/>
          <w:szCs w:val="20"/>
        </w:rPr>
        <w:t xml:space="preserve"> — requiresDivisibility?, minDivisibleUnit?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src/components/demand/NeedExtendedRequirements.tsx </w:t>
      </w:r>
      <w:r>
        <w:rPr>
          <w:color w:val="64748b"/>
          <w:sz w:val="20"/>
          <w:szCs w:val="20"/>
        </w:rPr>
        <w:t xml:space="preserve"> — Toggle + Eingabefeld (Demand)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src/components/new-listing/TechnicalDetailsSection.tsx </w:t>
      </w:r>
      <w:r>
        <w:rPr>
          <w:color w:val="64748b"/>
          <w:sz w:val="20"/>
          <w:szCs w:val="20"/>
        </w:rPr>
        <w:t xml:space="preserve"> — "Fläche ist teilbar" Toggle + Mindesteinheit (Supply Inserat-Formular)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src/components/supply/UnitStructurePanel.tsx </w:t>
      </w:r>
      <w:r>
        <w:rPr>
          <w:color w:val="64748b"/>
          <w:sz w:val="20"/>
          <w:szCs w:val="20"/>
        </w:rPr>
        <w:t xml:space="preserve"> — Teilbar-Toggle, Inline-Editor, Einheiten-Kombination, Match-Pills pro Einheit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src/components/supply/PropertyDetailOverview.tsx </w:t>
      </w:r>
      <w:r>
        <w:rPr>
          <w:color w:val="64748b"/>
          <w:sz w:val="20"/>
          <w:szCs w:val="20"/>
        </w:rPr>
        <w:t xml:space="preserve"> — bindet UnitStructurePanel ein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src/components/match-card/MatchCardViewModel.ts </w:t>
      </w:r>
      <w:r>
        <w:rPr>
          <w:color w:val="64748b"/>
          <w:sz w:val="20"/>
          <w:szCs w:val="20"/>
        </w:rPr>
        <w:t xml:space="preserve"> — isDivisible?, minDivisibleUnitSqm?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src/features/matching/matchCardAdapter.ts </w:t>
      </w:r>
      <w:r>
        <w:rPr>
          <w:color w:val="64748b"/>
          <w:sz w:val="20"/>
          <w:szCs w:val="20"/>
        </w:rPr>
        <w:t xml:space="preserve"> — Berechnung aus units[] (flexible first, sonst min areaSqm)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src/components/match-card/MatchCardCompact.tsx </w:t>
      </w:r>
      <w:r>
        <w:rPr>
          <w:color w:val="64748b"/>
          <w:sz w:val="20"/>
          <w:szCs w:val="20"/>
        </w:rPr>
        <w:t xml:space="preserve"> — Chip "Teilbar ab X m²" (lila)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src/mock-data/properties.ts </w:t>
      </w:r>
      <w:r>
        <w:rPr>
          <w:color w:val="64748b"/>
          <w:sz w:val="20"/>
          <w:szCs w:val="20"/>
        </w:rPr>
        <w:t xml:space="preserve"> — 6+ Properties mit isFlexible + minLettableSqm auf units[]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src/mock-data/needs.ts </w:t>
      </w:r>
      <w:r>
        <w:rPr>
          <w:color w:val="64748b"/>
          <w:sz w:val="20"/>
          <w:szCs w:val="20"/>
        </w:rPr>
        <w:t xml:space="preserve"> — need-002: requiresDivisibility: true, minDivisibleUnit: 500</w:t>
      </w:r>
    </w:p>
    <w:p>
      <w:pPr>
        <w:pBdr>
          <w:bottom w:val="single" w:color="e2e8f0" w:sz="4"/>
        </w:pBdr>
        <w:spacing w:after="200" w:before="200"/>
      </w:pPr>
    </w:p>
    <w:p>
      <w:pPr>
        <w:pBdr>
          <w:bottom w:val="single" w:color="e2e8f0" w:sz="6"/>
        </w:pBdr>
        <w:spacing w:after="160" w:before="360"/>
      </w:pPr>
      <w:r>
        <w:rPr>
          <w:b/>
          <w:bCs/>
          <w:color w:val="1e3a5f"/>
          <w:sz w:val="26"/>
          <w:szCs w:val="26"/>
        </w:rPr>
        <w:t xml:space="preserve">Änderung 3 — Ausbaubudget (CHF/m²) + MAB</w:t>
      </w:r>
    </w:p>
    <w:p>
      <w:pPr>
        <w:spacing w:after="160" w:before="0"/>
      </w:pPr>
      <w:r>
        <w:rPr>
          <w:color w:val="64748b"/>
          <w:sz w:val="18"/>
          <w:szCs w:val="18"/>
        </w:rPr>
        <w:t xml:space="preserve">Priorität: P1  ·  Betroffene Screens: Flächensuche, Ergebnisliste, Inseratformular</w:t>
      </w:r>
    </w:p>
    <w:p>
      <w:pPr>
        <w:spacing w:after="100" w:before="240"/>
      </w:pPr>
      <w:r>
        <w:rPr>
          <w:b/>
          <w:bCs/>
          <w:color w:val="1e3a5f"/>
          <w:sz w:val="22"/>
          <w:szCs w:val="22"/>
        </w:rPr>
        <w:t xml:space="preserve">Problem</w:t>
      </w:r>
    </w:p>
    <w:p>
      <w:pPr>
        <w:spacing w:after="80" w:before="60"/>
        <w:ind/>
      </w:pPr>
      <w:r>
        <w:rPr>
          <w:i w:val="false"/>
          <w:iCs w:val="false"/>
          <w:color w:val="334155"/>
          <w:sz w:val="20"/>
          <w:szCs w:val="20"/>
        </w:rPr>
        <w:t xml:space="preserve">Das bestehende Feld requiredFitOut (BASIC / FULL / PREMIUM) ist eine Qualitätskategorie. Sucher brauchen ein konkretes Budget in CHF/m². Auf der Verwalterseite fehlte das MAB-Feld (Mieterausbaubeitrag) vollständig — dabei ist MAB Schweizer Standardpraxis und verändert das Scoring fundamental: SHELL + MAB 300 CHF/m² kann gleichwertig mit FULL sein.</w:t>
      </w:r>
    </w:p>
    <w:p>
      <w:pPr>
        <w:spacing w:after="100" w:before="240"/>
      </w:pPr>
      <w:r>
        <w:rPr>
          <w:b/>
          <w:bCs/>
          <w:color w:val="1e3a5f"/>
          <w:sz w:val="22"/>
          <w:szCs w:val="22"/>
        </w:rPr>
        <w:t xml:space="preserve">Umgesetzte Teile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fitOutBudgetMaxPerSqm (CHF/m²) in Domain-Typen (war bereits vorhanden, jetzt vollständig verdrahtet)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Helpertext im Eingabefeld: "Ihr Beitrag — exkl. MAB des Vermieters"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Feld sichtbar in aktiver Suchkontext-Karte auf der Ergebnisseite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mieterausbaubeitragPerSqm auf PropertyHardFacts — Verwalter kann MAB beim Inserat erfassen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Fit-out-Label auf Match-Cards: "FULL — bezugsfertig", "BASIC + CHF 200 MAB" usw.</w:t>
      </w:r>
    </w:p>
    <w:p>
      <w:pPr>
        <w:spacing w:after="100" w:before="240"/>
      </w:pPr>
      <w:r>
        <w:rPr>
          <w:b/>
          <w:bCs/>
          <w:color w:val="1e3a5f"/>
          <w:sz w:val="22"/>
          <w:szCs w:val="22"/>
        </w:rPr>
        <w:t xml:space="preserve">Geänderte Dateien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src/domain/property.ts </w:t>
      </w:r>
      <w:r>
        <w:rPr>
          <w:color w:val="64748b"/>
          <w:sz w:val="20"/>
          <w:szCs w:val="20"/>
        </w:rPr>
        <w:t xml:space="preserve"> — PropertyHardFacts: mieterausbaubeitragPerSqm?: number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src/components/demand/NeedExtendedRequirements.tsx </w:t>
      </w:r>
      <w:r>
        <w:rPr>
          <w:color w:val="64748b"/>
          <w:sz w:val="20"/>
          <w:szCs w:val="20"/>
        </w:rPr>
        <w:t xml:space="preserve"> — CHF/m² Feld mit Helpertext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src/components/match-card/MatchCardViewModel.ts </w:t>
      </w:r>
      <w:r>
        <w:rPr>
          <w:color w:val="64748b"/>
          <w:sz w:val="20"/>
          <w:szCs w:val="20"/>
        </w:rPr>
        <w:t xml:space="preserve"> — fitOutLabel?: string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src/features/matching/matchCardAdapter.ts </w:t>
      </w:r>
      <w:r>
        <w:rPr>
          <w:color w:val="64748b"/>
          <w:sz w:val="20"/>
          <w:szCs w:val="20"/>
        </w:rPr>
        <w:t xml:space="preserve"> — fitOutLabel aus fitOut + MAB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src/components/match-card/MatchCardCompact.tsx </w:t>
      </w:r>
      <w:r>
        <w:rPr>
          <w:color w:val="64748b"/>
          <w:sz w:val="20"/>
          <w:szCs w:val="20"/>
        </w:rPr>
        <w:t xml:space="preserve"> — Fit-out-Chip mit Label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src/mock-data/properties.ts </w:t>
      </w:r>
      <w:r>
        <w:rPr>
          <w:color w:val="64748b"/>
          <w:sz w:val="20"/>
          <w:szCs w:val="20"/>
        </w:rPr>
        <w:t xml:space="preserve"> — mehrere Properties mit mieterausbaubeitragPerSqm befüllt</w:t>
      </w:r>
    </w:p>
    <w:p>
      <w:pPr>
        <w:pBdr>
          <w:bottom w:val="single" w:color="e2e8f0" w:sz="4"/>
        </w:pBdr>
        <w:spacing w:after="200" w:before="200"/>
      </w:pPr>
    </w:p>
    <w:p>
      <w:pPr>
        <w:pBdr>
          <w:bottom w:val="single" w:color="e2e8f0" w:sz="6"/>
        </w:pBdr>
        <w:spacing w:after="160" w:before="360"/>
      </w:pPr>
      <w:r>
        <w:rPr>
          <w:b/>
          <w:bCs/>
          <w:color w:val="1e3a5f"/>
          <w:sz w:val="26"/>
          <w:szCs w:val="26"/>
        </w:rPr>
        <w:t xml:space="preserve">Änderung 4 — Workspace-Klarheit</w:t>
      </w:r>
    </w:p>
    <w:p>
      <w:pPr>
        <w:spacing w:after="160" w:before="0"/>
      </w:pPr>
      <w:r>
        <w:rPr>
          <w:color w:val="64748b"/>
          <w:sz w:val="18"/>
          <w:szCs w:val="18"/>
        </w:rPr>
        <w:t xml:space="preserve">Priorität: P2  ·  Status: Bereits implementiert — kein Code-Änderungsbedarf</w:t>
      </w:r>
    </w:p>
    <w:p>
      <w:pPr>
        <w:spacing w:after="100" w:before="240"/>
      </w:pPr>
      <w:r>
        <w:rPr>
          <w:b/>
          <w:bCs/>
          <w:color w:val="1e3a5f"/>
          <w:sz w:val="22"/>
          <w:szCs w:val="22"/>
        </w:rPr>
        <w:t xml:space="preserve">Problem</w:t>
      </w:r>
    </w:p>
    <w:p>
      <w:pPr>
        <w:spacing w:after="80" w:before="60"/>
        <w:ind/>
      </w:pPr>
      <w:r>
        <w:rPr>
          <w:i w:val="false"/>
          <w:iCs w:val="false"/>
          <w:color w:val="334155"/>
          <w:sz w:val="20"/>
          <w:szCs w:val="20"/>
        </w:rPr>
        <w:t xml:space="preserve">Renato sagte mehrfach: "Man muss es vereinfachen... Es soll immer nur eine Meinung geben. Wo bin ich jetzt?" — Die Sidebar zeigte beide Workspace-Tabs (Suche + Verwaltung) sichtbar und klickbar.</w:t>
      </w:r>
    </w:p>
    <w:p>
      <w:pPr>
        <w:spacing w:after="100" w:before="240"/>
      </w:pPr>
      <w:r>
        <w:rPr>
          <w:b/>
          <w:bCs/>
          <w:color w:val="1e3a5f"/>
          <w:sz w:val="22"/>
          <w:szCs w:val="22"/>
        </w:rPr>
        <w:t xml:space="preserve">Befund</w:t>
      </w:r>
    </w:p>
    <w:p>
      <w:pPr>
        <w:spacing w:after="80" w:before="60"/>
        <w:ind/>
      </w:pPr>
      <w:r>
        <w:rPr>
          <w:i w:val="false"/>
          <w:iCs w:val="false"/>
          <w:color w:val="334155"/>
          <w:sz w:val="20"/>
          <w:szCs w:val="20"/>
        </w:rPr>
        <w:t xml:space="preserve">Die Sidebar-Komponente (AppShellSidebar.tsx) war bereits korrekt implementiert. Die Workspace-Tabs werden nur angezeigt, wenn der User Zugriff auf mehr als einen Workspace hat:</w:t>
      </w:r>
    </w:p>
    <w:p>
      <w:pPr>
        <w:spacing w:after="8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visibleWorkspaces.length &gt; 1 &amp;&amp; &lt;Box&gt;...Tabs...&lt;/Box&gt; </w:t>
      </w:r>
      <w:r>
        <w:rPr>
          <w:color w:val="94a3b8"/>
          <w:sz w:val="18"/>
          <w:szCs w:val="18"/>
        </w:rPr>
        <w:t xml:space="preserve"> (bedingte Anzeige)</w:t>
      </w:r>
    </w:p>
    <w:p>
      <w:pPr>
        <w:spacing w:after="80" w:before="60"/>
        <w:ind/>
      </w:pPr>
      <w:r>
        <w:rPr>
          <w:i w:val="false"/>
          <w:iCs w:val="false"/>
          <w:color w:val="334155"/>
          <w:sz w:val="20"/>
          <w:szCs w:val="20"/>
        </w:rPr>
        <w:t xml:space="preserve">Im Demo war der Admin-User aktiv (mit Zugriff auf beide Workspaces), weshalb beide Tabs sichtbar waren. Für produktive Nutzer (nur Suche oder nur Verwaltung) blendet die Sidebar die Tabs automatisch aus.</w:t>
      </w:r>
    </w:p>
    <w:p>
      <w:pPr>
        <w:pBdr>
          <w:left w:val="single" w:color="cbd5e1" w:sz="12"/>
        </w:pBdr>
        <w:spacing w:after="80" w:before="80"/>
        <w:ind w:left="360"/>
      </w:pPr>
      <w:r>
        <w:rPr>
          <w:i/>
          <w:iCs/>
          <w:color w:val="475569"/>
          <w:sz w:val="18"/>
          <w:szCs w:val="18"/>
        </w:rPr>
        <w:t xml:space="preserve">ℹ  Für zukünftige Demos: Demo-User mit Single-Workspace-Zugriff konfigurieren — kein Code-Änderungsbedarf.</w:t>
      </w:r>
    </w:p>
    <w:p>
      <w:pPr>
        <w:pBdr>
          <w:bottom w:val="single" w:color="e2e8f0" w:sz="4"/>
        </w:pBdr>
        <w:spacing w:after="200" w:before="200"/>
      </w:pPr>
    </w:p>
    <w:p>
      <w:pPr>
        <w:pBdr>
          <w:bottom w:val="single" w:color="e2e8f0" w:sz="6"/>
        </w:pBdr>
        <w:spacing w:after="160" w:before="360"/>
      </w:pPr>
      <w:r>
        <w:rPr>
          <w:b/>
          <w:bCs/>
          <w:color w:val="1e3a5f"/>
          <w:sz w:val="26"/>
          <w:szCs w:val="26"/>
        </w:rPr>
        <w:t xml:space="preserve">Änderung 5 — Anonymes Suchprofil</w:t>
      </w:r>
    </w:p>
    <w:p>
      <w:pPr>
        <w:spacing w:after="160" w:before="0"/>
      </w:pPr>
      <w:r>
        <w:rPr>
          <w:color w:val="64748b"/>
          <w:sz w:val="18"/>
          <w:szCs w:val="18"/>
        </w:rPr>
        <w:t xml:space="preserve">Priorität: P2  ·  Betroffene Screens: Suchprofil-Speicherung, Supply Match Center</w:t>
      </w:r>
    </w:p>
    <w:p>
      <w:pPr>
        <w:spacing w:after="100" w:before="240"/>
      </w:pPr>
      <w:r>
        <w:rPr>
          <w:b/>
          <w:bCs/>
          <w:color w:val="1e3a5f"/>
          <w:sz w:val="22"/>
          <w:szCs w:val="22"/>
        </w:rPr>
        <w:t xml:space="preserve">Problem</w:t>
      </w:r>
    </w:p>
    <w:p>
      <w:pPr>
        <w:spacing w:after="80" w:before="60"/>
        <w:ind/>
      </w:pPr>
      <w:r>
        <w:rPr>
          <w:i w:val="false"/>
          <w:iCs w:val="false"/>
          <w:color w:val="334155"/>
          <w:sz w:val="20"/>
          <w:szCs w:val="20"/>
        </w:rPr>
        <w:t xml:space="preserve">Meeting-Diskussion: "Möglichkeit für anonyme Suchanfragen um Vertraulichkeit zu wahren" — z.B. ein Unternehmen sucht diskret nach neuem Büro, ohne dass der aktuelle Vermieter davon erfährt.</w:t>
      </w:r>
    </w:p>
    <w:p>
      <w:pPr>
        <w:spacing w:after="100" w:before="240"/>
      </w:pPr>
      <w:r>
        <w:rPr>
          <w:b/>
          <w:bCs/>
          <w:color w:val="1e3a5f"/>
          <w:sz w:val="22"/>
          <w:szCs w:val="22"/>
        </w:rPr>
        <w:t xml:space="preserve">Designentscheid — wo gehört der Toggle hin?</w:t>
      </w:r>
    </w:p>
    <w:p>
      <w:pPr>
        <w:spacing w:after="80" w:before="60"/>
        <w:ind/>
      </w:pPr>
      <w:r>
        <w:rPr>
          <w:i w:val="false"/>
          <w:iCs w:val="false"/>
          <w:color w:val="334155"/>
          <w:sz w:val="20"/>
          <w:szCs w:val="20"/>
        </w:rPr>
        <w:t xml:space="preserve">Ursprünglicher Plan sah den Toggle in der Such-Form (NeedInput.tsx) vor. Im Review wurde dieser Ansatz verworfen:</w:t>
      </w:r>
    </w:p>
    <w:p>
      <w:pPr>
        <w:pBdr>
          <w:left w:val="single" w:color="d97706" w:sz="12"/>
        </w:pBdr>
        <w:spacing w:after="80" w:before="80"/>
        <w:ind w:left="360"/>
      </w:pPr>
      <w:r>
        <w:rPr>
          <w:i w:val="false"/>
          <w:iCs w:val="false"/>
          <w:color w:val="92400e"/>
          <w:sz w:val="18"/>
          <w:szCs w:val="18"/>
        </w:rPr>
        <w:t xml:space="preserve">⚠  Eine einmalige Suche ist bereits anonym — keine Profileinträge, kein Firmenname gespeichert. Anonymisierung ist nur bei gespeicherten Suchprofilen (Suchabo) relevant, weil diese im Supply Match Center für Verwalter sichtbar werden.</w:t>
      </w:r>
    </w:p>
    <w:p>
      <w:pPr>
        <w:spacing w:after="80" w:before="60"/>
        <w:ind/>
      </w:pPr>
      <w:r>
        <w:rPr>
          <w:i w:val="false"/>
          <w:iCs w:val="false"/>
          <w:color w:val="334155"/>
          <w:sz w:val="20"/>
          <w:szCs w:val="20"/>
        </w:rPr>
        <w:t xml:space="preserve">Konsequenz: Toggle wurde aus der Such-Form entfernt und ausschliesslich im Schritt "Als Suchprofil speichern" platziert.</w:t>
      </w:r>
    </w:p>
    <w:p>
      <w:pPr>
        <w:spacing w:after="100" w:before="240"/>
      </w:pPr>
      <w:r>
        <w:rPr>
          <w:b/>
          <w:bCs/>
          <w:color w:val="1e3a5f"/>
          <w:sz w:val="22"/>
          <w:szCs w:val="22"/>
        </w:rPr>
        <w:t xml:space="preserve">Umgesetzte Lösung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isAnonymous?: boolean auf dem Need Domain-Typ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Toggle-Box im Suchprofil-Speicher-Schritt (AISearchSavePreview.tsx) — nach der NeedCardPreview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Box wechselt zu lila Hintergrund + lila Rahmen wenn aktiv (#7c3aed)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Beschriftung: "Anonymes Suchprofil" / "Firmenname wird nicht an Vermieter übermittelt — Verwalter sehen nur Branche und Flächenbedarf"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Beim Speichern: isAnonymous wird via buildNeedInput() an das Need-Objekt übergeben</w:t>
      </w:r>
    </w:p>
    <w:p>
      <w:pPr>
        <w:spacing w:after="100" w:before="240"/>
      </w:pPr>
      <w:r>
        <w:rPr>
          <w:b/>
          <w:bCs/>
          <w:color w:val="1e3a5f"/>
          <w:sz w:val="22"/>
          <w:szCs w:val="22"/>
        </w:rPr>
        <w:t xml:space="preserve">Supply-Seite: was Verwalter sehen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NeedSelectionPanel.tsx (linke Spalte des Match Centers): zeigt "Anonyme Anfrage" statt Firmenname + lila "Anonym"-Badge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MatchListCard.tsx (Match-Liste): Chip wechselt von blau (Firmenname) zu lila ("Anonyme Anfrage")</w:t>
      </w:r>
    </w:p>
    <w:p>
      <w:pPr>
        <w:spacing w:after="100" w:before="240"/>
      </w:pPr>
      <w:r>
        <w:rPr>
          <w:b/>
          <w:bCs/>
          <w:color w:val="1e3a5f"/>
          <w:sz w:val="22"/>
          <w:szCs w:val="22"/>
        </w:rPr>
        <w:t xml:space="preserve">Geänderte Dateien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src/domain/need.ts </w:t>
      </w:r>
      <w:r>
        <w:rPr>
          <w:color w:val="64748b"/>
          <w:sz w:val="20"/>
          <w:szCs w:val="20"/>
        </w:rPr>
        <w:t xml:space="preserve"> — isAnonymous?: boolean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src/components/demand/AISearchSavePreview.tsx </w:t>
      </w:r>
      <w:r>
        <w:rPr>
          <w:color w:val="64748b"/>
          <w:sz w:val="20"/>
          <w:szCs w:val="20"/>
        </w:rPr>
        <w:t xml:space="preserve"> — Toggle-Box mit Switch (neue Props: isAnonymous, onAnonymousChange)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src/pages/demand/AISearch.tsx </w:t>
      </w:r>
      <w:r>
        <w:rPr>
          <w:color w:val="64748b"/>
          <w:sz w:val="20"/>
          <w:szCs w:val="20"/>
        </w:rPr>
        <w:t xml:space="preserve"> — State isAnonymous + Übergabe an AISearchSavePreview + Merge in buildNeedInput()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src/components/match-center/MatchListCard.tsx </w:t>
      </w:r>
      <w:r>
        <w:rPr>
          <w:color w:val="64748b"/>
          <w:sz w:val="20"/>
          <w:szCs w:val="20"/>
        </w:rPr>
        <w:t xml:space="preserve"> — Chip: "Anonyme Anfrage" (lila) vs. Firmenname (blau)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src/components/match-center/NeedSelectionPanel.tsx </w:t>
      </w:r>
      <w:r>
        <w:rPr>
          <w:color w:val="64748b"/>
          <w:sz w:val="20"/>
          <w:szCs w:val="20"/>
        </w:rPr>
        <w:t xml:space="preserve"> — "Anonyme Anfrage" + "Anonym"-Badge wenn need.isAnonymous</w:t>
      </w:r>
    </w:p>
    <w:p>
      <w:pPr>
        <w:pBdr>
          <w:bottom w:val="single" w:color="e2e8f0" w:sz="4"/>
        </w:pBdr>
        <w:spacing w:after="200" w:before="200"/>
      </w:pPr>
    </w:p>
    <w:p>
      <w:pPr>
        <w:pBdr>
          <w:bottom w:val="single" w:color="e2e8f0" w:sz="6"/>
        </w:pBdr>
        <w:spacing w:after="160" w:before="360"/>
      </w:pPr>
      <w:r>
        <w:rPr>
          <w:b/>
          <w:bCs/>
          <w:color w:val="1e3a5f"/>
          <w:sz w:val="26"/>
          <w:szCs w:val="26"/>
        </w:rPr>
        <w:t xml:space="preserve">Änderung 6 — Reale Jahresbelastung (Ausbaukosten)</w:t>
      </w:r>
    </w:p>
    <w:p>
      <w:pPr>
        <w:spacing w:after="160" w:before="0"/>
      </w:pPr>
      <w:r>
        <w:rPr>
          <w:color w:val="64748b"/>
          <w:sz w:val="18"/>
          <w:szCs w:val="18"/>
        </w:rPr>
        <w:t xml:space="preserve">Priorität: P1+  ·  Betroffene Screens: Match Detail (Demand-Seite)</w:t>
      </w:r>
    </w:p>
    <w:p>
      <w:pPr>
        <w:spacing w:after="100" w:before="240"/>
      </w:pPr>
      <w:r>
        <w:rPr>
          <w:b/>
          <w:bCs/>
          <w:color w:val="1e3a5f"/>
          <w:sz w:val="22"/>
          <w:szCs w:val="22"/>
        </w:rPr>
        <w:t xml:space="preserve">Kontext &amp; Motivation</w:t>
      </w:r>
    </w:p>
    <w:p>
      <w:pPr>
        <w:spacing w:after="80" w:before="60"/>
        <w:ind/>
      </w:pPr>
      <w:r>
        <w:rPr>
          <w:i w:val="false"/>
          <w:iCs w:val="false"/>
          <w:color w:val="334155"/>
          <w:sz w:val="20"/>
          <w:szCs w:val="20"/>
        </w:rPr>
        <w:t xml:space="preserve">Entscheidungsintelligenz bedeutet: dem Nutzer nicht nur "hier ist ein Match" zeigen, sondern "was kostet dich dieser Match wirklich?" Eine Firma die eine SHELL-Fläche mietet, muss CHF 800–1'500/m² investieren bevor der erste Mitarbeiter sitzt — das kann die reale Jahresbelastung verdoppeln.</w:t>
      </w:r>
    </w:p>
    <w:p>
      <w:pPr>
        <w:spacing w:after="80" w:before="60"/>
        <w:ind/>
      </w:pPr>
      <w:r>
        <w:rPr>
          <w:i w:val="false"/>
          <w:iCs w:val="false"/>
          <w:color w:val="334155"/>
          <w:sz w:val="20"/>
          <w:szCs w:val="20"/>
        </w:rPr>
        <w:t xml:space="preserve">Ohne diese Information können Matches nicht fair verglichen werden: eine BASIC-Fläche zu CHF 360/m² Miete kann teurer sein als FULL zu CHF 420/m², sobald die Ausbaupflicht amortisiert wird.</w:t>
      </w:r>
    </w:p>
    <w:p>
      <w:pPr>
        <w:spacing w:after="100" w:before="240"/>
      </w:pPr>
      <w:r>
        <w:rPr>
          <w:b/>
          <w:bCs/>
          <w:color w:val="1e3a5f"/>
          <w:sz w:val="22"/>
          <w:szCs w:val="22"/>
        </w:rPr>
        <w:t xml:space="preserve">Schweizer Benchmark-Richtwerte (CRB/BKP)</w:t>
      </w:r>
    </w:p>
    <w:p>
      <w:pPr>
        <w:spacing w:after="100" w:before="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</w:tblGrid>
      <w:tr>
        <w:tc>
          <w:tcPr>
            <w:shd w:fill="1e3a5f" w:color="1e3a5f" w:val="solid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Übergabezustand</w:t>
            </w:r>
          </w:p>
        </w:tc>
        <w:tc>
          <w:tcPr>
            <w:shd w:fill="1e3a5f" w:color="1e3a5f" w:val="solid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CHF/m² (Mieter)</w:t>
            </w:r>
          </w:p>
        </w:tc>
        <w:tc>
          <w:tcPr>
            <w:shd w:fill="1e3a5f" w:color="1e3a5f" w:val="solid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Bedeutung</w:t>
            </w:r>
          </w:p>
        </w:tc>
      </w:tr>
      <w:tr>
        <w:tc>
          <w:tcPr>
            <w:shd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color w:val="334155"/>
                <w:sz w:val="18"/>
                <w:szCs w:val="18"/>
              </w:rPr>
              <w:t xml:space="preserve">SHELL (Rohbau)</w:t>
            </w:r>
          </w:p>
        </w:tc>
        <w:tc>
          <w:tcPr>
            <w:shd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color w:val="334155"/>
                <w:sz w:val="18"/>
                <w:szCs w:val="18"/>
              </w:rPr>
              <w:t xml:space="preserve">800–1'500</w:t>
            </w:r>
          </w:p>
        </w:tc>
        <w:tc>
          <w:tcPr>
            <w:shd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color w:val="334155"/>
                <w:sz w:val="18"/>
                <w:szCs w:val="18"/>
              </w:rPr>
              <w:t xml:space="preserve">Kompletter Innenausbau nötig</w:t>
            </w:r>
          </w:p>
        </w:tc>
      </w:tr>
      <w:tr>
        <w:tc>
          <w:tcPr>
            <w:shd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color w:val="334155"/>
                <w:sz w:val="18"/>
                <w:szCs w:val="18"/>
              </w:rPr>
              <w:t xml:space="preserve">BASIC (Basisausbau)</w:t>
            </w:r>
          </w:p>
        </w:tc>
        <w:tc>
          <w:tcPr>
            <w:shd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color w:val="334155"/>
                <w:sz w:val="18"/>
                <w:szCs w:val="18"/>
              </w:rPr>
              <w:t xml:space="preserve">400–800</w:t>
            </w:r>
          </w:p>
        </w:tc>
        <w:tc>
          <w:tcPr>
            <w:shd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color w:val="334155"/>
                <w:sz w:val="18"/>
                <w:szCs w:val="18"/>
              </w:rPr>
              <w:t xml:space="preserve">Wände, Licht, Teeküche fehlen</w:t>
            </w:r>
          </w:p>
        </w:tc>
      </w:tr>
      <w:tr>
        <w:tc>
          <w:tcPr>
            <w:shd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color w:val="334155"/>
                <w:sz w:val="18"/>
                <w:szCs w:val="18"/>
              </w:rPr>
              <w:t xml:space="preserve">FULL (Vollausbau)</w:t>
            </w:r>
          </w:p>
        </w:tc>
        <w:tc>
          <w:tcPr>
            <w:shd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color w:val="334155"/>
                <w:sz w:val="18"/>
                <w:szCs w:val="18"/>
              </w:rPr>
              <w:t xml:space="preserve">50–200</w:t>
            </w:r>
          </w:p>
        </w:tc>
        <w:tc>
          <w:tcPr>
            <w:shd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color w:val="334155"/>
                <w:sz w:val="18"/>
                <w:szCs w:val="18"/>
              </w:rPr>
              <w:t xml:space="preserve">Nur Kosmetik / IT</w:t>
            </w:r>
          </w:p>
        </w:tc>
      </w:tr>
      <w:tr>
        <w:tc>
          <w:tcPr>
            <w:shd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color w:val="334155"/>
                <w:sz w:val="18"/>
                <w:szCs w:val="18"/>
              </w:rPr>
              <w:t xml:space="preserve">PREMIUM</w:t>
            </w:r>
          </w:p>
        </w:tc>
        <w:tc>
          <w:tcPr>
            <w:shd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color w:val="334155"/>
                <w:sz w:val="18"/>
                <w:szCs w:val="18"/>
              </w:rPr>
              <w:t xml:space="preserve">0–50</w:t>
            </w:r>
          </w:p>
        </w:tc>
        <w:tc>
          <w:tcPr>
            <w:shd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color w:val="334155"/>
                <w:sz w:val="18"/>
                <w:szCs w:val="18"/>
              </w:rPr>
              <w:t xml:space="preserve">Bezugsfertig — keine Investition</w:t>
            </w:r>
          </w:p>
        </w:tc>
      </w:tr>
    </w:tbl>
    <w:p>
      <w:pPr>
        <w:spacing w:after="160" w:before="0"/>
      </w:pPr>
    </w:p>
    <w:p>
      <w:pPr>
        <w:spacing w:after="80" w:before="60"/>
        <w:ind/>
      </w:pPr>
      <w:r>
        <w:rPr>
          <w:i w:val="false"/>
          <w:iCs w:val="false"/>
          <w:color w:val="334155"/>
          <w:sz w:val="20"/>
          <w:szCs w:val="20"/>
        </w:rPr>
        <w:t xml:space="preserve">MAB (Mieterausbaubeitrag): vom Vermieter geleisteter Beitrag, der die Nettoinvestition des Mieters reduziert.</w:t>
      </w:r>
    </w:p>
    <w:p>
      <w:pPr>
        <w:spacing w:after="100" w:before="240"/>
      </w:pPr>
      <w:r>
        <w:rPr>
          <w:b/>
          <w:bCs/>
          <w:color w:val="1e3a5f"/>
          <w:sz w:val="22"/>
          <w:szCs w:val="22"/>
        </w:rPr>
        <w:t xml:space="preserve">Implementierung: Deterministische Kostenrechnung</w:t>
      </w:r>
    </w:p>
    <w:p>
      <w:pPr>
        <w:spacing w:after="80" w:before="60"/>
        <w:ind/>
      </w:pPr>
      <w:r>
        <w:rPr>
          <w:i w:val="false"/>
          <w:iCs w:val="false"/>
          <w:color w:val="334155"/>
          <w:sz w:val="20"/>
          <w:szCs w:val="20"/>
        </w:rPr>
        <w:t xml:space="preserve">Keine KI — reine Mathematik, immer sichtbar. Das Panel zeigt die reale Jahresbelastung als direkte Vergleichsgrösse zur Miete.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Neue Konstante FIT_OUT_COST_CHF_PER_SQM in src/lib/constants.ts (CRB/BKP Benchmarks)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Neue Hilfsdatei src/lib/fitOutUtils.ts: Interface FitOutInvestment + Funktion calcFitOutInvestment()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Amortisierung über AMORTIZATION_YEARS = 5 Jahre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FULL / PREMIUM → Ausbaukosten CHF 0.– (bezugsfertig)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SHELL / BASIC → Nettoinvestition = Benchmark − MAB, amortisiert über 5 Jahre, dividiert in CHF/Jahr</w:t>
      </w:r>
    </w:p>
    <w:p>
      <w:pPr>
        <w:spacing w:after="100" w:before="240"/>
      </w:pPr>
      <w:r>
        <w:rPr>
          <w:b/>
          <w:bCs/>
          <w:color w:val="1e3a5f"/>
          <w:sz w:val="22"/>
          <w:szCs w:val="22"/>
        </w:rPr>
        <w:t xml:space="preserve">Berechnungsformel (SHELL/BASIC)</w:t>
      </w:r>
    </w:p>
    <w:p>
      <w:pPr>
        <w:spacing w:after="20" w:before="40"/>
        <w:ind w:left="360"/>
      </w:pPr>
      <w:r>
        <w:rPr>
          <w:rFonts w:ascii="Courier New" w:cs="Courier New" w:eastAsia="Courier New" w:hAnsi="Courier New"/>
          <w:color w:val="1e3a5f"/>
          <w:sz w:val="18"/>
          <w:szCs w:val="18"/>
        </w:rPr>
        <w:t xml:space="preserve">Brutto [CHF/m²] = CRB-Benchmark (min–max) für fitOut-Wert</w:t>
      </w:r>
    </w:p>
    <w:p>
      <w:pPr>
        <w:spacing w:after="20" w:before="20"/>
        <w:ind w:left="360"/>
      </w:pPr>
      <w:r>
        <w:rPr>
          <w:rFonts w:ascii="Courier New" w:cs="Courier New" w:eastAsia="Courier New" w:hAnsi="Courier New"/>
          <w:color w:val="1e3a5f"/>
          <w:sz w:val="18"/>
          <w:szCs w:val="18"/>
        </w:rPr>
        <w:t xml:space="preserve">Netto [CHF/m²] = Brutto − mieterausbaubeitragPerSqm (MAB)</w:t>
      </w:r>
    </w:p>
    <w:p>
      <w:pPr>
        <w:spacing w:after="20" w:before="20"/>
        <w:ind w:left="360"/>
      </w:pPr>
      <w:r>
        <w:rPr>
          <w:rFonts w:ascii="Courier New" w:cs="Courier New" w:eastAsia="Courier New" w:hAnsi="Courier New"/>
          <w:color w:val="1e3a5f"/>
          <w:sz w:val="18"/>
          <w:szCs w:val="18"/>
        </w:rPr>
        <w:t xml:space="preserve">Netto total [CHF] = Netto × areaSqm</w:t>
      </w:r>
    </w:p>
    <w:p>
      <w:pPr>
        <w:spacing w:after="60" w:before="20"/>
        <w:ind w:left="360"/>
      </w:pPr>
      <w:r>
        <w:rPr>
          <w:rFonts w:ascii="Courier New" w:cs="Courier New" w:eastAsia="Courier New" w:hAnsi="Courier New"/>
          <w:color w:val="1e3a5f"/>
          <w:sz w:val="18"/>
          <w:szCs w:val="18"/>
        </w:rPr>
        <w:t xml:space="preserve">Amortisiert [CHF/Jahr] = Netto total ÷ 5 Jahre</w:t>
      </w:r>
    </w:p>
    <w:p>
      <w:pPr>
        <w:spacing w:after="80" w:before="60"/>
        <w:ind/>
      </w:pPr>
      <w:r>
        <w:rPr>
          <w:i w:val="false"/>
          <w:iCs w:val="false"/>
          <w:color w:val="334155"/>
          <w:sz w:val="20"/>
          <w:szCs w:val="20"/>
        </w:rPr>
        <w:t xml:space="preserve">Sub-Label Format: "CHF 400–800/m² (Basisausbau) abzgl. CHF 200 MAB × 850 m² ÷ 5 J." — zeigt dem User wie die Zahl zustande kommt.</w:t>
      </w:r>
    </w:p>
    <w:p>
      <w:pPr>
        <w:spacing w:after="100" w:before="240"/>
      </w:pPr>
      <w:r>
        <w:rPr>
          <w:b/>
          <w:bCs/>
          <w:color w:val="1e3a5f"/>
          <w:sz w:val="22"/>
          <w:szCs w:val="22"/>
        </w:rPr>
        <w:t xml:space="preserve">Darstellung im Match Detail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Neue Komponente FitOutCostPanel.tsx in src/components/match-detail/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Panel erscheint für ALLE Übergabezustände — nicht nur SHELL/BASIC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FULL/PREMIUM: grüne Zeile "Ausbau CHF 0.– — Vollausbau bezugsfertig"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SHELL/BASIC (MAB deckt alles): grüne Zeile "Ausbau CHF 0.– — durch MAB gedeckt"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SHELL/BASIC (Nettoinvestition &gt; 0): Vergleich Jahresnettomiete vs. jährliche Ausbauamortisation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Gesamtzeile orange wenn Gesamtjahresbelastung &gt; 1.3 × Jahresnettomiete (= Warnschwelle)</w:t>
      </w:r>
    </w:p>
    <w:p>
      <w:pPr>
        <w:spacing w:after="100" w:before="240"/>
      </w:pPr>
      <w:r>
        <w:rPr>
          <w:b/>
          <w:bCs/>
          <w:color w:val="1e3a5f"/>
          <w:sz w:val="22"/>
          <w:szCs w:val="22"/>
        </w:rPr>
        <w:t xml:space="preserve">Match-Karte: Investitionshinweis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fitOutInvestment?: FitOutInvestment auf MatchCardViewModel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calcFitOutInvestment() wird im matchCardAdapter.ts berechnet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Kleiner Chip unter fitOut-Chip auf MatchCardCompact.tsx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Orange Rand wenn netTotal.max &gt; CHF 100'000</w:t>
      </w:r>
    </w:p>
    <w:p>
      <w:pPr>
        <w:spacing w:after="100" w:before="240"/>
      </w:pPr>
      <w:r>
        <w:rPr>
          <w:b/>
          <w:bCs/>
          <w:color w:val="1e3a5f"/>
          <w:sz w:val="22"/>
          <w:szCs w:val="22"/>
        </w:rPr>
        <w:t xml:space="preserve">Geänderte und neue Dateien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src/lib/constants.ts </w:t>
      </w:r>
      <w:r>
        <w:rPr>
          <w:color w:val="64748b"/>
          <w:sz w:val="20"/>
          <w:szCs w:val="20"/>
        </w:rPr>
        <w:t xml:space="preserve"> — FIT_OUT_COST_CHF_PER_SQM Benchmarks + AMORTIZATION_YEARS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src/lib/fitOutUtils.ts </w:t>
      </w:r>
      <w:r>
        <w:rPr>
          <w:color w:val="64748b"/>
          <w:sz w:val="20"/>
          <w:szCs w:val="20"/>
        </w:rPr>
        <w:t xml:space="preserve"> — NEU: FitOutInvestment Interface + calcFitOutInvestment()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src/components/match-detail/FitOutCostPanel.tsx </w:t>
      </w:r>
      <w:r>
        <w:rPr>
          <w:color w:val="64748b"/>
          <w:sz w:val="20"/>
          <w:szCs w:val="20"/>
        </w:rPr>
        <w:t xml:space="preserve"> — NEU: Reale Jahresbelastung Panel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src/components/match-detail/index.ts </w:t>
      </w:r>
      <w:r>
        <w:rPr>
          <w:color w:val="64748b"/>
          <w:sz w:val="20"/>
          <w:szCs w:val="20"/>
        </w:rPr>
        <w:t xml:space="preserve"> — FitOutCostPanel exportiert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src/pages/demand/MatchDetail.tsx </w:t>
      </w:r>
      <w:r>
        <w:rPr>
          <w:color w:val="64748b"/>
          <w:sz w:val="20"/>
          <w:szCs w:val="20"/>
        </w:rPr>
        <w:t xml:space="preserve"> — FitOutCostPanel eingebunden für ALLE fitOut-Werte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src/components/match-card/MatchCardViewModel.ts </w:t>
      </w:r>
      <w:r>
        <w:rPr>
          <w:color w:val="64748b"/>
          <w:sz w:val="20"/>
          <w:szCs w:val="20"/>
        </w:rPr>
        <w:t xml:space="preserve"> — fitOutInvestment?: FitOutInvestment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src/features/matching/matchCardAdapter.ts </w:t>
      </w:r>
      <w:r>
        <w:rPr>
          <w:color w:val="64748b"/>
          <w:sz w:val="20"/>
          <w:szCs w:val="20"/>
        </w:rPr>
        <w:t xml:space="preserve"> — fitOutInvestment via calcFitOutInvestment()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src/components/match-card/MatchCardCompact.tsx </w:t>
      </w:r>
      <w:r>
        <w:rPr>
          <w:color w:val="64748b"/>
          <w:sz w:val="20"/>
          <w:szCs w:val="20"/>
        </w:rPr>
        <w:t xml:space="preserve"> — Investitions-Chip (orange bei &gt; CHF 100k)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src/services/ai/IAIService.ts </w:t>
      </w:r>
      <w:r>
        <w:rPr>
          <w:color w:val="64748b"/>
          <w:sz w:val="20"/>
          <w:szCs w:val="20"/>
        </w:rPr>
        <w:t xml:space="preserve"> — FitOutAdvice Typen + generateFitOutAdvice() Methode (vorbereitet)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src/services/ai/mock/MockAIService.ts </w:t>
      </w:r>
      <w:r>
        <w:rPr>
          <w:color w:val="64748b"/>
          <w:sz w:val="20"/>
          <w:szCs w:val="20"/>
        </w:rPr>
        <w:t xml:space="preserve"> — generateFitOutAdvice() Mock-Implementierung</w:t>
      </w:r>
    </w:p>
    <w:p>
      <w:pPr>
        <w:spacing w:after="60" w:before="60"/>
      </w:pPr>
      <w:r>
        <w:rPr>
          <w:rFonts w:ascii="Courier New" w:cs="Courier New" w:eastAsia="Courier New" w:hAnsi="Courier New"/>
          <w:b/>
          <w:bCs/>
          <w:color w:val="1e3a5f"/>
          <w:sz w:val="18"/>
          <w:szCs w:val="18"/>
        </w:rPr>
        <w:t xml:space="preserve"> src/services/ai/backend/BackendAIService.ts </w:t>
      </w:r>
      <w:r>
        <w:rPr>
          <w:color w:val="64748b"/>
          <w:sz w:val="20"/>
          <w:szCs w:val="20"/>
        </w:rPr>
        <w:t xml:space="preserve"> — generateFitOutAdvice() mit CRB/BKP System-Prompt</w:t>
      </w:r>
    </w:p>
    <w:p>
      <w:pPr>
        <w:pBdr>
          <w:bottom w:val="single" w:color="e2e8f0" w:sz="4"/>
        </w:pBdr>
        <w:spacing w:after="200" w:before="200"/>
      </w:pPr>
    </w:p>
    <w:p>
      <w:pPr>
        <w:pBdr>
          <w:bottom w:val="single" w:color="e2e8f0" w:sz="6"/>
        </w:pBdr>
        <w:spacing w:after="160" w:before="360"/>
      </w:pPr>
      <w:r>
        <w:rPr>
          <w:b/>
          <w:bCs/>
          <w:color w:val="1e3a5f"/>
          <w:sz w:val="26"/>
          <w:szCs w:val="26"/>
        </w:rPr>
        <w:t xml:space="preserve">Technische Hinweise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Alle neuen Felder sind optional (?) — keine Breaking Changes für bestehende Needs oder Mock-Daten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TypeScript strict-Modus: 0 neue Fehler durch diese Änderungen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Alle Domain-Typen in src/domain/ — kein lokales Duplizieren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Keine neuen Farben hardcodiert — alle Farben stammen aus DS_COLORS oder bestehenden Tokens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Lila (#7c3aed) ist bestehende DS-Farbe für Schattenmarkt / Future-Signale / Anonymität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Orange (#d97706) ist bestehende DS-Farbe für Warnsignale / Datenpflege-Alerts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CRB/BKP-Benchmarks als Konstante zentral in src/lib/constants.ts — nie inline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fitOutUtils.ts: pure TypeScript, kein React — testbar ohne DOM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FitOutCostPanel.tsx: &lt; 200 Zeilen (unter 250-Zeilen-Limit für Feature-Komponenten)</w:t>
      </w:r>
    </w:p>
    <w:p>
      <w:pPr>
        <w:pStyle w:val="ListParagraph"/>
        <w:numPr>
          <w:ilvl w:val="0"/>
          <w:numId w:val="1"/>
        </w:numPr>
        <w:spacing w:after="60" w:before="40"/>
      </w:pPr>
      <w:r>
        <w:rPr>
          <w:color w:val="334155"/>
          <w:sz w:val="20"/>
          <w:szCs w:val="20"/>
        </w:rPr>
        <w:t xml:space="preserve">AISearchSavePreview.tsx: Anonymität-Toggle als props (isAnonymous, onAnonymousChange) — kein lokaler State in Komponente</w:t>
      </w:r>
    </w:p>
    <w:p>
      <w:pPr>
        <w:spacing w:before="400"/>
      </w:pPr>
    </w:p>
    <w:p>
      <w:pPr>
        <w:jc w:val="center"/>
      </w:pPr>
      <w:r>
        <w:rPr>
          <w:i/>
          <w:iCs/>
          <w:color w:val="94a3b8"/>
          <w:sz w:val="16"/>
          <w:szCs w:val="16"/>
        </w:rPr>
        <w:t xml:space="preserve">Property-Match · Prototyp v2 · Branch: Ultimate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2026-06-06T22:23:35.966Z</dcterms:created>
  <dcterms:modified xsi:type="dcterms:W3CDTF">2026-06-06T22:23:35.966Z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